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8E9D" w14:textId="6969B4A6" w:rsidR="006E6539" w:rsidRDefault="006E6539" w:rsidP="00034E00">
      <w:pPr>
        <w:spacing w:line="240" w:lineRule="auto"/>
        <w:rPr>
          <w:rFonts w:ascii="Calibri" w:eastAsia="Times New Roman" w:hAnsi="Calibri" w:cs="Calibri"/>
          <w:color w:val="000000"/>
          <w:lang w:eastAsia="en-GB"/>
        </w:rPr>
      </w:pPr>
      <w:bookmarkStart w:id="0" w:name="_GoBack"/>
      <w:bookmarkEnd w:id="0"/>
      <w:r>
        <w:rPr>
          <w:rFonts w:ascii="Calibri" w:eastAsia="Times New Roman" w:hAnsi="Calibri" w:cs="Calibri"/>
          <w:color w:val="000000"/>
          <w:lang w:eastAsia="en-GB"/>
        </w:rPr>
        <w:t xml:space="preserve">Elliott Woodhouse. PhD Candidate. University of Sheffield. Leverhulme Centre for Climate Change Mitigation (LC3M). </w:t>
      </w:r>
      <w:hyperlink r:id="rId4" w:history="1">
        <w:r w:rsidRPr="00D521EB">
          <w:rPr>
            <w:rStyle w:val="Hyperlink"/>
            <w:rFonts w:ascii="Calibri" w:eastAsia="Times New Roman" w:hAnsi="Calibri" w:cs="Calibri"/>
            <w:lang w:eastAsia="en-GB"/>
          </w:rPr>
          <w:t>ewoodhouse2@sheffield.ac.uk</w:t>
        </w:r>
      </w:hyperlink>
    </w:p>
    <w:p w14:paraId="0895A978" w14:textId="77777777" w:rsidR="006E6539" w:rsidRPr="006E6539" w:rsidRDefault="006E6539" w:rsidP="006E6539">
      <w:pPr>
        <w:spacing w:line="240" w:lineRule="auto"/>
        <w:rPr>
          <w:rFonts w:ascii="Calibri" w:eastAsia="Times New Roman" w:hAnsi="Calibri" w:cs="Calibri"/>
          <w:b/>
          <w:bCs/>
          <w:color w:val="000000"/>
          <w:sz w:val="24"/>
          <w:szCs w:val="24"/>
          <w:lang w:eastAsia="en-GB"/>
        </w:rPr>
      </w:pPr>
      <w:r>
        <w:rPr>
          <w:rFonts w:ascii="Calibri" w:eastAsia="Times New Roman" w:hAnsi="Calibri" w:cs="Calibri"/>
          <w:color w:val="000000"/>
          <w:lang w:eastAsia="en-GB"/>
        </w:rPr>
        <w:t xml:space="preserve">Elliott Woodhouse is a Leverhulme Trust Scholar at the University of Sheffield, where he studies the ethics of geoengineering, specifically carbon capture and removal technology. </w:t>
      </w:r>
      <w:r>
        <w:rPr>
          <w:rFonts w:ascii="Calibri" w:eastAsia="Times New Roman" w:hAnsi="Calibri" w:cs="Calibri"/>
          <w:color w:val="000000"/>
          <w:lang w:eastAsia="en-GB"/>
        </w:rPr>
        <w:br/>
      </w:r>
      <w:r>
        <w:rPr>
          <w:rFonts w:ascii="Calibri" w:eastAsia="Times New Roman" w:hAnsi="Calibri" w:cs="Calibri"/>
          <w:color w:val="000000"/>
          <w:lang w:eastAsia="en-GB"/>
        </w:rPr>
        <w:br/>
      </w:r>
      <w:r w:rsidRPr="00034E00">
        <w:rPr>
          <w:rFonts w:ascii="Calibri" w:eastAsia="Times New Roman" w:hAnsi="Calibri" w:cs="Calibri"/>
          <w:b/>
          <w:bCs/>
          <w:color w:val="000000"/>
          <w:sz w:val="24"/>
          <w:szCs w:val="24"/>
          <w:lang w:eastAsia="en-GB"/>
        </w:rPr>
        <w:t>Respect for Nature and the Presumptive Case Against Geoengineering</w:t>
      </w:r>
    </w:p>
    <w:p w14:paraId="70932021" w14:textId="77777777" w:rsidR="006E6539" w:rsidRPr="006E6539" w:rsidRDefault="006E6539" w:rsidP="006E6539">
      <w:pPr>
        <w:spacing w:line="240" w:lineRule="auto"/>
        <w:rPr>
          <w:rFonts w:ascii="Calibri" w:eastAsia="Times New Roman" w:hAnsi="Calibri" w:cs="Calibri"/>
          <w:i/>
          <w:iCs/>
          <w:color w:val="000000"/>
          <w:sz w:val="24"/>
          <w:szCs w:val="24"/>
          <w:lang w:eastAsia="en-GB"/>
        </w:rPr>
      </w:pPr>
      <w:r w:rsidRPr="006E6539">
        <w:rPr>
          <w:rFonts w:ascii="Calibri" w:eastAsia="Times New Roman" w:hAnsi="Calibri" w:cs="Calibri"/>
          <w:color w:val="000000"/>
          <w:sz w:val="24"/>
          <w:szCs w:val="24"/>
          <w:lang w:eastAsia="en-GB"/>
        </w:rPr>
        <w:t xml:space="preserve">Keywords: </w:t>
      </w:r>
      <w:r w:rsidRPr="006E6539">
        <w:rPr>
          <w:rFonts w:ascii="Calibri" w:eastAsia="Times New Roman" w:hAnsi="Calibri" w:cs="Calibri"/>
          <w:i/>
          <w:iCs/>
          <w:color w:val="000000"/>
          <w:sz w:val="24"/>
          <w:szCs w:val="24"/>
          <w:lang w:eastAsia="en-GB"/>
        </w:rPr>
        <w:t>Geo-engineering, Environmental Ethics, Philosophy, Technology.</w:t>
      </w:r>
    </w:p>
    <w:p w14:paraId="35B15DAF" w14:textId="57449363" w:rsidR="00034E00" w:rsidRPr="00034E00" w:rsidRDefault="00034E00" w:rsidP="00034E00">
      <w:pPr>
        <w:spacing w:line="240" w:lineRule="auto"/>
        <w:rPr>
          <w:rFonts w:ascii="Calibri" w:eastAsia="Times New Roman" w:hAnsi="Calibri" w:cs="Calibri"/>
          <w:color w:val="000000"/>
          <w:sz w:val="24"/>
          <w:szCs w:val="24"/>
          <w:lang w:eastAsia="en-GB"/>
        </w:rPr>
      </w:pPr>
    </w:p>
    <w:p w14:paraId="010FD4B6" w14:textId="77777777" w:rsidR="00034E00" w:rsidRPr="00034E00" w:rsidRDefault="00034E00" w:rsidP="00034E00">
      <w:pPr>
        <w:spacing w:line="240" w:lineRule="auto"/>
        <w:rPr>
          <w:rFonts w:ascii="Times New Roman" w:eastAsia="Times New Roman" w:hAnsi="Times New Roman" w:cs="Times New Roman"/>
          <w:sz w:val="24"/>
          <w:szCs w:val="24"/>
          <w:lang w:eastAsia="en-GB"/>
        </w:rPr>
      </w:pPr>
      <w:r w:rsidRPr="00034E00">
        <w:rPr>
          <w:rFonts w:ascii="Calibri" w:eastAsia="Times New Roman" w:hAnsi="Calibri" w:cs="Calibri"/>
          <w:color w:val="000000"/>
          <w:sz w:val="24"/>
          <w:szCs w:val="24"/>
          <w:lang w:eastAsia="en-GB"/>
        </w:rPr>
        <w:t>In his 2011 paper “</w:t>
      </w:r>
      <w:r w:rsidRPr="00034E00">
        <w:rPr>
          <w:rFonts w:ascii="Calibri" w:eastAsia="Times New Roman" w:hAnsi="Calibri" w:cs="Calibri"/>
          <w:i/>
          <w:iCs/>
          <w:color w:val="000000"/>
          <w:sz w:val="24"/>
          <w:szCs w:val="24"/>
          <w:lang w:eastAsia="en-GB"/>
        </w:rPr>
        <w:t>Rethinking the Unthinkable”</w:t>
      </w:r>
      <w:r w:rsidRPr="00034E00">
        <w:rPr>
          <w:rFonts w:ascii="Calibri" w:eastAsia="Times New Roman" w:hAnsi="Calibri" w:cs="Calibri"/>
          <w:color w:val="000000"/>
          <w:sz w:val="24"/>
          <w:szCs w:val="24"/>
          <w:lang w:eastAsia="en-GB"/>
        </w:rPr>
        <w:t xml:space="preserve">, Christopher Preston argues that a presumptive case against geoengineering can be found within the environmental ethics literature. This is evidenced in the main part by his reading of Paul Taylor’s highly influential 1986 work “Respect for Nature”. In this work, Taylor develops a paradigmatic environmental ethics, which seeks to ground inherent moral worth in all living beings and explain humanity’s obligations towards them. In particular, Taylor advocates for a </w:t>
      </w:r>
      <w:r w:rsidRPr="00034E00">
        <w:rPr>
          <w:rFonts w:ascii="Calibri" w:eastAsia="Times New Roman" w:hAnsi="Calibri" w:cs="Calibri"/>
          <w:i/>
          <w:iCs/>
          <w:color w:val="000000"/>
          <w:sz w:val="24"/>
          <w:szCs w:val="24"/>
          <w:lang w:eastAsia="en-GB"/>
        </w:rPr>
        <w:t xml:space="preserve">duty of non-intervention </w:t>
      </w:r>
      <w:r w:rsidRPr="00034E00">
        <w:rPr>
          <w:rFonts w:ascii="Calibri" w:eastAsia="Times New Roman" w:hAnsi="Calibri" w:cs="Calibri"/>
          <w:color w:val="000000"/>
          <w:sz w:val="24"/>
          <w:szCs w:val="24"/>
          <w:lang w:eastAsia="en-GB"/>
        </w:rPr>
        <w:t>as one of the categorical imperatives of this ethics</w:t>
      </w:r>
      <w:r w:rsidRPr="00034E00">
        <w:rPr>
          <w:rFonts w:ascii="Calibri" w:eastAsia="Times New Roman" w:hAnsi="Calibri" w:cs="Calibri"/>
          <w:i/>
          <w:iCs/>
          <w:color w:val="000000"/>
          <w:sz w:val="24"/>
          <w:szCs w:val="24"/>
          <w:lang w:eastAsia="en-GB"/>
        </w:rPr>
        <w:t xml:space="preserve">. </w:t>
      </w:r>
      <w:r w:rsidRPr="00034E00">
        <w:rPr>
          <w:rFonts w:ascii="Calibri" w:eastAsia="Times New Roman" w:hAnsi="Calibri" w:cs="Calibri"/>
          <w:color w:val="000000"/>
          <w:sz w:val="24"/>
          <w:szCs w:val="24"/>
          <w:lang w:eastAsia="en-GB"/>
        </w:rPr>
        <w:t xml:space="preserve">This rule obligates persons, in most circumstances, to maintain a “hands off” attitude towards the natural world and its inhabitants, in order to maintain a wild nature separate from domination by humans. Such a prohibition on human interference in nature seems to be clearly in opposition to the commonly given definition of geoengineering as </w:t>
      </w:r>
      <w:r w:rsidRPr="00034E00">
        <w:rPr>
          <w:rFonts w:ascii="Calibri" w:eastAsia="Times New Roman" w:hAnsi="Calibri" w:cs="Calibri"/>
          <w:i/>
          <w:iCs/>
          <w:color w:val="000000"/>
          <w:sz w:val="24"/>
          <w:szCs w:val="24"/>
          <w:lang w:eastAsia="en-GB"/>
        </w:rPr>
        <w:t>“The large scale and intentional manipulation of Earth’s climate”.</w:t>
      </w:r>
    </w:p>
    <w:p w14:paraId="576009A8" w14:textId="77777777" w:rsidR="00034E00" w:rsidRPr="00034E00" w:rsidRDefault="00034E00" w:rsidP="00034E00">
      <w:pPr>
        <w:spacing w:line="240" w:lineRule="auto"/>
        <w:rPr>
          <w:rFonts w:ascii="Times New Roman" w:eastAsia="Times New Roman" w:hAnsi="Times New Roman" w:cs="Times New Roman"/>
          <w:sz w:val="24"/>
          <w:szCs w:val="24"/>
          <w:lang w:eastAsia="en-GB"/>
        </w:rPr>
      </w:pPr>
      <w:r w:rsidRPr="00034E00">
        <w:rPr>
          <w:rFonts w:ascii="Calibri" w:eastAsia="Times New Roman" w:hAnsi="Calibri" w:cs="Calibri"/>
          <w:color w:val="000000"/>
          <w:sz w:val="24"/>
          <w:szCs w:val="24"/>
          <w:lang w:eastAsia="en-GB"/>
        </w:rPr>
        <w:t xml:space="preserve">I argue, however, that Preston’s argument is based on an inadequate reading of Taylor’s work, and that </w:t>
      </w:r>
      <w:r w:rsidRPr="00034E00">
        <w:rPr>
          <w:rFonts w:ascii="Calibri" w:eastAsia="Times New Roman" w:hAnsi="Calibri" w:cs="Calibri"/>
          <w:i/>
          <w:iCs/>
          <w:color w:val="000000"/>
          <w:sz w:val="24"/>
          <w:szCs w:val="24"/>
          <w:lang w:eastAsia="en-GB"/>
        </w:rPr>
        <w:t xml:space="preserve">Respect for Nature </w:t>
      </w:r>
      <w:r w:rsidRPr="00034E00">
        <w:rPr>
          <w:rFonts w:ascii="Calibri" w:eastAsia="Times New Roman" w:hAnsi="Calibri" w:cs="Calibri"/>
          <w:color w:val="000000"/>
          <w:sz w:val="24"/>
          <w:szCs w:val="24"/>
          <w:lang w:eastAsia="en-GB"/>
        </w:rPr>
        <w:t>does not provide</w:t>
      </w:r>
      <w:r w:rsidRPr="00034E00">
        <w:rPr>
          <w:rFonts w:ascii="Calibri" w:eastAsia="Times New Roman" w:hAnsi="Calibri" w:cs="Calibri"/>
          <w:i/>
          <w:iCs/>
          <w:color w:val="000000"/>
          <w:sz w:val="24"/>
          <w:szCs w:val="24"/>
          <w:lang w:eastAsia="en-GB"/>
        </w:rPr>
        <w:t xml:space="preserve"> </w:t>
      </w:r>
      <w:r w:rsidRPr="00034E00">
        <w:rPr>
          <w:rFonts w:ascii="Calibri" w:eastAsia="Times New Roman" w:hAnsi="Calibri" w:cs="Calibri"/>
          <w:color w:val="000000"/>
          <w:sz w:val="24"/>
          <w:szCs w:val="24"/>
          <w:lang w:eastAsia="en-GB"/>
        </w:rPr>
        <w:t xml:space="preserve">an absolute case for the prohibition of geoengineering. This is firstly because Taylor’s rule of non-intervention produces counter-intuitive and problematic conclusions when put to the test. Additionally, Taylor allows the duty of Non-Intervention to be over-ruled in cases of restitutive justice and ecological repair. In these circumstances, humans may intervene in natural processes in ways that are consistent with an attitude of Respect for Nature. Increasingly, framings of Carbon Capture and Removal geo-engineering are positioning themselves closer to waste management, and are extolling the benefits of these technologies for protecting threatened ecosystems from the harmful effects of climate change. When framed in this way, it becomes less certain that a </w:t>
      </w:r>
      <w:r w:rsidRPr="00034E00">
        <w:rPr>
          <w:rFonts w:ascii="Calibri" w:eastAsia="Times New Roman" w:hAnsi="Calibri" w:cs="Calibri"/>
          <w:i/>
          <w:iCs/>
          <w:color w:val="000000"/>
          <w:sz w:val="24"/>
          <w:szCs w:val="24"/>
          <w:lang w:eastAsia="en-GB"/>
        </w:rPr>
        <w:t>presumptive case</w:t>
      </w:r>
      <w:r w:rsidRPr="00034E00">
        <w:rPr>
          <w:rFonts w:ascii="Calibri" w:eastAsia="Times New Roman" w:hAnsi="Calibri" w:cs="Calibri"/>
          <w:color w:val="000000"/>
          <w:sz w:val="24"/>
          <w:szCs w:val="24"/>
          <w:lang w:eastAsia="en-GB"/>
        </w:rPr>
        <w:t xml:space="preserve"> against geoengineering can be found in Taylor’s work, despite the importance he places on the preservation of wilderness and nature free from human interference.</w:t>
      </w:r>
    </w:p>
    <w:p w14:paraId="294CA4B8" w14:textId="1A5F4D13" w:rsidR="00CD6100" w:rsidRPr="006E6539" w:rsidRDefault="00034E00" w:rsidP="00034E00">
      <w:pPr>
        <w:rPr>
          <w:sz w:val="24"/>
          <w:szCs w:val="24"/>
        </w:rPr>
      </w:pPr>
      <w:r w:rsidRPr="006E6539">
        <w:rPr>
          <w:rFonts w:ascii="Calibri" w:eastAsia="Times New Roman" w:hAnsi="Calibri" w:cs="Calibri"/>
          <w:color w:val="000000"/>
          <w:sz w:val="24"/>
          <w:szCs w:val="24"/>
          <w:lang w:eastAsia="en-GB"/>
        </w:rPr>
        <w:t xml:space="preserve">If my argument seems like a </w:t>
      </w:r>
      <w:r w:rsidRPr="006E6539">
        <w:rPr>
          <w:rFonts w:ascii="Calibri" w:eastAsia="Times New Roman" w:hAnsi="Calibri" w:cs="Calibri"/>
          <w:i/>
          <w:iCs/>
          <w:color w:val="000000"/>
          <w:sz w:val="24"/>
          <w:szCs w:val="24"/>
          <w:lang w:eastAsia="en-GB"/>
        </w:rPr>
        <w:t>bad faith</w:t>
      </w:r>
      <w:r w:rsidRPr="006E6539">
        <w:rPr>
          <w:rFonts w:ascii="Calibri" w:eastAsia="Times New Roman" w:hAnsi="Calibri" w:cs="Calibri"/>
          <w:color w:val="000000"/>
          <w:sz w:val="24"/>
          <w:szCs w:val="24"/>
          <w:lang w:eastAsia="en-GB"/>
        </w:rPr>
        <w:t xml:space="preserve"> reading of Taylor’s work, then this paper should serve to illustrate how proponents of geoengineering will be able to use such intricacies of early environmental ethics to defend actions that their creators would have found abhorrent. Preston argues that “</w:t>
      </w:r>
      <w:r w:rsidRPr="006E6539">
        <w:rPr>
          <w:rFonts w:ascii="Calibri" w:eastAsia="Times New Roman" w:hAnsi="Calibri" w:cs="Calibri"/>
          <w:i/>
          <w:iCs/>
          <w:color w:val="000000"/>
          <w:sz w:val="24"/>
          <w:szCs w:val="24"/>
          <w:lang w:eastAsia="en-GB"/>
        </w:rPr>
        <w:t xml:space="preserve">the presumptive argument must be accorded the weight that forty years of environmental ethics has provided it”. </w:t>
      </w:r>
      <w:r w:rsidRPr="006E6539">
        <w:rPr>
          <w:rFonts w:ascii="Calibri" w:eastAsia="Times New Roman" w:hAnsi="Calibri" w:cs="Calibri"/>
          <w:color w:val="000000"/>
          <w:sz w:val="24"/>
          <w:szCs w:val="24"/>
          <w:lang w:eastAsia="en-GB"/>
        </w:rPr>
        <w:t>I instead hope to show how philosophies created with the environmental problems of forty years ago in mind, struggle to deal with today’s issues of climate change and geoengineering.</w:t>
      </w:r>
    </w:p>
    <w:sectPr w:rsidR="00CD6100" w:rsidRPr="006E6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00"/>
    <w:rsid w:val="00034E00"/>
    <w:rsid w:val="00331CDF"/>
    <w:rsid w:val="003A608A"/>
    <w:rsid w:val="00446557"/>
    <w:rsid w:val="006E6539"/>
    <w:rsid w:val="0070774E"/>
    <w:rsid w:val="00873B4C"/>
    <w:rsid w:val="00CD6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DA73"/>
  <w15:chartTrackingRefBased/>
  <w15:docId w15:val="{BB359E8F-4F1D-436D-96C7-662B5ABE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6539"/>
    <w:rPr>
      <w:color w:val="0563C1" w:themeColor="hyperlink"/>
      <w:u w:val="single"/>
    </w:rPr>
  </w:style>
  <w:style w:type="character" w:styleId="UnresolvedMention">
    <w:name w:val="Unresolved Mention"/>
    <w:basedOn w:val="DefaultParagraphFont"/>
    <w:uiPriority w:val="99"/>
    <w:semiHidden/>
    <w:unhideWhenUsed/>
    <w:rsid w:val="006E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woodhouse2@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Woodhouse</dc:creator>
  <cp:keywords/>
  <dc:description/>
  <cp:lastModifiedBy>Wouter Peeters</cp:lastModifiedBy>
  <cp:revision>2</cp:revision>
  <dcterms:created xsi:type="dcterms:W3CDTF">2021-01-20T13:44:00Z</dcterms:created>
  <dcterms:modified xsi:type="dcterms:W3CDTF">2021-01-20T13:44:00Z</dcterms:modified>
</cp:coreProperties>
</file>